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81B20" w:rsidRPr="00EC53E2" w:rsidP="00EC53E2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(5. HAFTA)                                                                                                                                                                    </w:t>
      </w:r>
      <w:r w:rsidRPr="00EC53E2" w:rsidR="003C6349">
        <w:rPr>
          <w:rFonts w:ascii="Tahoma" w:hAnsi="Tahoma" w:cs="Tahoma"/>
          <w:b/>
          <w:sz w:val="20"/>
          <w:szCs w:val="20"/>
        </w:rPr>
        <w:t>06-10 EKİM</w:t>
      </w:r>
      <w:r w:rsidRPr="00EC53E2">
        <w:rPr>
          <w:rFonts w:ascii="Tahoma" w:hAnsi="Tahoma" w:cs="Tahoma"/>
          <w:b/>
          <w:sz w:val="20"/>
          <w:szCs w:val="20"/>
        </w:rPr>
        <w:t xml:space="preserve">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BO.4.1.1.3. Oyunlarda nesne kontrolü gerektiren hareketleri etkili kullanır.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Sarı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18. Topa Alışma Çalışmaları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19. Atma - Tutma     20. Yakalama        21. Ayakla Vurma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“Nesne Kontrolü Hareketleri” (sarı 18-26 arasındaki kartlar) ve “Birleştirilmiş Hareketler” (sarı 27-33 arasındaki kartlar) FEK'lerindeki etkinlikler kullanılabilir.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